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05710E7E" w:rsidR="00121B6A" w:rsidRPr="00D86D20" w:rsidRDefault="007D66E7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Durchfahr Schnellkühler / </w:t>
      </w:r>
      <w:proofErr w:type="spellStart"/>
      <w:r>
        <w:rPr>
          <w:rFonts w:ascii="Arial" w:hAnsi="Arial" w:cs="Arial"/>
          <w:b/>
          <w:sz w:val="28"/>
          <w:szCs w:val="28"/>
        </w:rPr>
        <w:t>Schockf</w:t>
      </w:r>
      <w:r w:rsidR="00740A0F">
        <w:rPr>
          <w:rFonts w:ascii="Arial" w:hAnsi="Arial" w:cs="Arial"/>
          <w:b/>
          <w:sz w:val="28"/>
          <w:szCs w:val="28"/>
        </w:rPr>
        <w:t>ro</w:t>
      </w:r>
      <w:r>
        <w:rPr>
          <w:rFonts w:ascii="Arial" w:hAnsi="Arial" w:cs="Arial"/>
          <w:b/>
          <w:sz w:val="28"/>
          <w:szCs w:val="28"/>
        </w:rPr>
        <w:t>ster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D5105C0" w:rsidR="00D234BE" w:rsidRDefault="007D66E7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Durchfahr-Gerät.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24750C">
        <w:rPr>
          <w:rFonts w:ascii="Arial" w:hAnsi="Arial" w:cs="Arial"/>
          <w:b w:val="0"/>
          <w:color w:val="000000"/>
          <w:sz w:val="22"/>
          <w:szCs w:val="22"/>
        </w:rPr>
        <w:t>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Tür</w:t>
      </w:r>
      <w:r>
        <w:rPr>
          <w:rFonts w:ascii="Arial" w:hAnsi="Arial" w:cs="Arial"/>
          <w:b w:val="0"/>
          <w:color w:val="000000"/>
          <w:sz w:val="22"/>
          <w:szCs w:val="22"/>
        </w:rPr>
        <w:t>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mit steigenden Scharnieren und abschließbarem 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üssen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10A889B3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50B663C" w:rsidR="00EE4E78" w:rsidRPr="005E779E" w:rsidRDefault="00AE3DC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</w:t>
      </w:r>
    </w:p>
    <w:p w14:paraId="7A445EB4" w14:textId="77777777" w:rsidR="00C9459F" w:rsidRDefault="00C9459F" w:rsidP="00C9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</w:p>
    <w:p w14:paraId="2BF2200B" w14:textId="77777777" w:rsidR="00C9459F" w:rsidRDefault="00C9459F" w:rsidP="00C9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5DE68A" w14:textId="77777777" w:rsidR="00AE3DC8" w:rsidRPr="00135B5B" w:rsidRDefault="00AE3DC8" w:rsidP="00AE3DC8">
      <w:pPr>
        <w:pStyle w:val="berschrift2"/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 w:rsidRPr="00135B5B"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 w:rsidRPr="00135B5B"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2F01720E" w14:textId="70C29799" w:rsidR="00D87263" w:rsidRPr="00865D74" w:rsidRDefault="009D0476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Easytouch</w:t>
      </w:r>
      <w:proofErr w:type="spellEnd"/>
      <w:r>
        <w:rPr>
          <w:rFonts w:ascii="Arial" w:hAnsi="Arial" w:cs="Arial"/>
        </w:rPr>
        <w:t xml:space="preserve"> Bedienerführung erfolgt über ein in den Gerätekorpus integriertes, ergonomisch angebrachtes 7“ TFT-Glas Display in kapazitiver Ausführung. </w:t>
      </w:r>
      <w:r w:rsidR="00D87263" w:rsidRPr="00865D74">
        <w:rPr>
          <w:rFonts w:ascii="Arial" w:hAnsi="Arial" w:cs="Arial"/>
        </w:rPr>
        <w:t xml:space="preserve">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4C5AED15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79B35AB" w14:textId="77777777" w:rsidR="00BA77DA" w:rsidRPr="00C30DE0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7A264A8E" w14:textId="12DE2470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 w:rsidR="00966E99"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F28A85D" w14:textId="07E90D11" w:rsidR="00523C4E" w:rsidRPr="00FC012D" w:rsidRDefault="00523C4E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765202" w14:textId="12A6FEE0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21F26E3E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8362E4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48EE67EB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23C4E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7D158FB0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680E72" w14:textId="6DFF2552" w:rsidR="00BA77DA" w:rsidRDefault="00BA77DA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2B9310" w14:textId="77777777" w:rsidR="00BA77DA" w:rsidRPr="008F3E25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0AB57E7E" w14:textId="77777777" w:rsidR="00BA77DA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6FC26BA8" w14:textId="644E8020" w:rsidR="00BA77DA" w:rsidRDefault="00BA77DA" w:rsidP="00BA7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SKFMSD4011D-OB</w:t>
      </w:r>
    </w:p>
    <w:p w14:paraId="7047A902" w14:textId="77777777" w:rsidR="00BA77DA" w:rsidRDefault="00BA77DA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6085" w14:textId="77777777" w:rsidR="00BA77DA" w:rsidRDefault="00BA77DA" w:rsidP="00BA77DA">
      <w:pPr>
        <w:spacing w:after="0" w:line="240" w:lineRule="auto"/>
      </w:pPr>
      <w:r>
        <w:separator/>
      </w:r>
    </w:p>
  </w:endnote>
  <w:endnote w:type="continuationSeparator" w:id="0">
    <w:p w14:paraId="39BB1B00" w14:textId="77777777" w:rsidR="00BA77DA" w:rsidRDefault="00BA77DA" w:rsidP="00BA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35F4" w14:textId="6E89A58B" w:rsidR="00BA77DA" w:rsidRPr="00BA77DA" w:rsidRDefault="00BA77DA">
    <w:pPr>
      <w:pStyle w:val="Fuzeile"/>
      <w:rPr>
        <w:sz w:val="18"/>
        <w:szCs w:val="18"/>
      </w:rPr>
    </w:pPr>
    <w:r w:rsidRPr="00BA77DA">
      <w:rPr>
        <w:rFonts w:ascii="Arial" w:hAnsi="Arial" w:cs="Arial"/>
        <w:sz w:val="18"/>
        <w:szCs w:val="18"/>
      </w:rPr>
      <w:t>SKFMSD4011D-OB / Stand 10/2024</w:t>
    </w:r>
  </w:p>
  <w:p w14:paraId="6CAC78A2" w14:textId="77777777" w:rsidR="00BA77DA" w:rsidRDefault="00BA77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4560" w14:textId="77777777" w:rsidR="00BA77DA" w:rsidRDefault="00BA77DA" w:rsidP="00BA77DA">
      <w:pPr>
        <w:spacing w:after="0" w:line="240" w:lineRule="auto"/>
      </w:pPr>
      <w:r>
        <w:separator/>
      </w:r>
    </w:p>
  </w:footnote>
  <w:footnote w:type="continuationSeparator" w:id="0">
    <w:p w14:paraId="124A17C6" w14:textId="77777777" w:rsidR="00BA77DA" w:rsidRDefault="00BA77DA" w:rsidP="00BA7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1D33D0"/>
    <w:rsid w:val="0024750C"/>
    <w:rsid w:val="002835C0"/>
    <w:rsid w:val="004337E1"/>
    <w:rsid w:val="00523C4E"/>
    <w:rsid w:val="005658A7"/>
    <w:rsid w:val="006C05E6"/>
    <w:rsid w:val="00740A0F"/>
    <w:rsid w:val="00773759"/>
    <w:rsid w:val="007D66E7"/>
    <w:rsid w:val="008362E4"/>
    <w:rsid w:val="008F7FE0"/>
    <w:rsid w:val="00966E99"/>
    <w:rsid w:val="009D0476"/>
    <w:rsid w:val="009D54B3"/>
    <w:rsid w:val="009F52E8"/>
    <w:rsid w:val="00A57D9C"/>
    <w:rsid w:val="00AE1234"/>
    <w:rsid w:val="00AE3DC8"/>
    <w:rsid w:val="00BA77DA"/>
    <w:rsid w:val="00BE650A"/>
    <w:rsid w:val="00C30DE0"/>
    <w:rsid w:val="00C9459F"/>
    <w:rsid w:val="00CF290C"/>
    <w:rsid w:val="00D234BE"/>
    <w:rsid w:val="00D5720D"/>
    <w:rsid w:val="00D86D20"/>
    <w:rsid w:val="00D87263"/>
    <w:rsid w:val="00D974E9"/>
    <w:rsid w:val="00DE5799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A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7DA"/>
  </w:style>
  <w:style w:type="paragraph" w:styleId="Fuzeile">
    <w:name w:val="footer"/>
    <w:basedOn w:val="Standard"/>
    <w:link w:val="FuzeileZchn"/>
    <w:uiPriority w:val="99"/>
    <w:unhideWhenUsed/>
    <w:rsid w:val="00BA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9</cp:revision>
  <cp:lastPrinted>2022-04-25T10:12:00Z</cp:lastPrinted>
  <dcterms:created xsi:type="dcterms:W3CDTF">2024-10-18T09:47:00Z</dcterms:created>
  <dcterms:modified xsi:type="dcterms:W3CDTF">2024-10-23T13:46:00Z</dcterms:modified>
</cp:coreProperties>
</file>